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3" w:rsidRPr="00727956" w:rsidRDefault="00F87F03" w:rsidP="00727956">
      <w:pPr>
        <w:jc w:val="center"/>
        <w:rPr>
          <w:rFonts w:ascii="Cambria" w:hAnsi="Cambria" w:cs="Arial Narrow"/>
          <w:b/>
          <w:bCs/>
          <w:u w:val="single"/>
        </w:rPr>
      </w:pPr>
      <w:r w:rsidRPr="00727956">
        <w:rPr>
          <w:rFonts w:ascii="Cambria" w:hAnsi="Cambria" w:cs="Arial Narrow"/>
          <w:b/>
          <w:bCs/>
          <w:u w:val="single"/>
        </w:rPr>
        <w:t>Т Е Х Н И Ч Е С К О    З А Д А Н И Е</w:t>
      </w:r>
    </w:p>
    <w:p w:rsidR="00F87F03" w:rsidRPr="00727956" w:rsidRDefault="00F87F03" w:rsidP="00727956">
      <w:pPr>
        <w:jc w:val="center"/>
        <w:rPr>
          <w:rFonts w:ascii="Cambria" w:hAnsi="Cambria" w:cs="Arial Narrow"/>
          <w:b/>
          <w:bCs/>
        </w:rPr>
      </w:pPr>
    </w:p>
    <w:p w:rsidR="00F87F03" w:rsidRPr="00727956" w:rsidRDefault="00F87F03" w:rsidP="00727956">
      <w:pPr>
        <w:rPr>
          <w:rFonts w:ascii="Cambria" w:hAnsi="Cambria" w:cs="Arial Narrow"/>
          <w:b/>
          <w:bCs/>
        </w:rPr>
      </w:pPr>
      <w:r w:rsidRPr="00727956">
        <w:rPr>
          <w:rFonts w:ascii="Cambria" w:hAnsi="Cambria" w:cs="Arial Narrow"/>
        </w:rPr>
        <w:t>ПРЕДМЕТ</w:t>
      </w:r>
      <w:r w:rsidR="00E40311" w:rsidRPr="00727956">
        <w:rPr>
          <w:rFonts w:ascii="Cambria" w:hAnsi="Cambria" w:cs="Arial Narrow"/>
          <w:b/>
          <w:bCs/>
        </w:rPr>
        <w:t>: „ИЗВЪРШВАНЕ НА СМР ДЕЙНОСТИ В БАЛНЕОХОТЕЛ „БОЖУР” В УПИ V – 85, КВ. 56, С. МИНЕРАЛНИ БАНИ“</w:t>
      </w:r>
    </w:p>
    <w:p w:rsidR="00F87F03" w:rsidRPr="00727956" w:rsidRDefault="00F87F03" w:rsidP="00727956">
      <w:pPr>
        <w:jc w:val="both"/>
        <w:rPr>
          <w:rFonts w:ascii="Cambria" w:hAnsi="Cambria" w:cs="Arial Narrow"/>
          <w:b/>
          <w:bCs/>
        </w:rPr>
      </w:pPr>
      <w:r w:rsidRPr="00727956">
        <w:rPr>
          <w:rFonts w:ascii="Cambria" w:hAnsi="Cambria" w:cs="Arial Narrow"/>
        </w:rPr>
        <w:t xml:space="preserve">ВЪЗЛОЖИТЕЛ:   </w:t>
      </w:r>
      <w:r w:rsidR="00E40311" w:rsidRPr="00727956">
        <w:rPr>
          <w:rFonts w:ascii="Cambria" w:hAnsi="Cambria" w:cs="Arial Narrow"/>
          <w:b/>
          <w:bCs/>
        </w:rPr>
        <w:t xml:space="preserve">„ПРО” ЕАД </w:t>
      </w:r>
    </w:p>
    <w:p w:rsidR="00F87F03" w:rsidRPr="00727956" w:rsidRDefault="00F87F03" w:rsidP="00727956">
      <w:pPr>
        <w:rPr>
          <w:rFonts w:ascii="Cambria" w:hAnsi="Cambria" w:cs="Arial Narrow"/>
          <w:lang w:val="ru-RU"/>
        </w:rPr>
      </w:pPr>
    </w:p>
    <w:p w:rsidR="00F87F03" w:rsidRPr="00727956" w:rsidRDefault="00F87F03" w:rsidP="00727956">
      <w:pPr>
        <w:jc w:val="both"/>
        <w:rPr>
          <w:rFonts w:ascii="Cambria" w:hAnsi="Cambria" w:cs="Arial Narrow"/>
          <w:lang w:val="ru-RU"/>
        </w:rPr>
      </w:pPr>
    </w:p>
    <w:p w:rsidR="00F87F03" w:rsidRPr="00727956" w:rsidRDefault="00F87F03" w:rsidP="00727956">
      <w:pPr>
        <w:jc w:val="both"/>
        <w:rPr>
          <w:rFonts w:ascii="Cambria" w:hAnsi="Cambria" w:cs="Arial Narrow"/>
          <w:u w:val="single"/>
        </w:rPr>
      </w:pPr>
      <w:r w:rsidRPr="00727956">
        <w:rPr>
          <w:rFonts w:ascii="Cambria" w:hAnsi="Cambria" w:cs="Arial Narrow"/>
        </w:rPr>
        <w:t xml:space="preserve">   </w:t>
      </w:r>
      <w:r w:rsidRPr="00727956">
        <w:rPr>
          <w:rFonts w:ascii="Cambria" w:hAnsi="Cambria" w:cs="Arial Narrow"/>
          <w:u w:val="single"/>
        </w:rPr>
        <w:t>І СЪСТОЯНИЕ НА ОБЕКТА</w:t>
      </w:r>
    </w:p>
    <w:p w:rsidR="00F87F03" w:rsidRPr="00727956" w:rsidRDefault="00F87F03" w:rsidP="00727956">
      <w:pPr>
        <w:jc w:val="both"/>
        <w:rPr>
          <w:rFonts w:ascii="Cambria" w:hAnsi="Cambria" w:cs="Arial Narrow"/>
          <w:u w:val="single"/>
        </w:rPr>
      </w:pP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proofErr w:type="spellStart"/>
      <w:r w:rsidRPr="00727956">
        <w:rPr>
          <w:rFonts w:ascii="Cambria" w:hAnsi="Cambria" w:cs="Arial Narrow"/>
        </w:rPr>
        <w:t>Балнеохотел</w:t>
      </w:r>
      <w:proofErr w:type="spellEnd"/>
      <w:r w:rsidRPr="00727956">
        <w:rPr>
          <w:rFonts w:ascii="Cambria" w:hAnsi="Cambria" w:cs="Arial Narrow"/>
        </w:rPr>
        <w:t xml:space="preserve"> „Божур” се намира в </w:t>
      </w:r>
      <w:bookmarkStart w:id="0" w:name="OLE_LINK3"/>
      <w:r w:rsidRPr="00727956">
        <w:rPr>
          <w:rFonts w:ascii="Cambria" w:hAnsi="Cambria" w:cs="Arial Narrow"/>
        </w:rPr>
        <w:t xml:space="preserve">УПИ V-85, кв. 56, с. Минерални бани </w:t>
      </w:r>
      <w:proofErr w:type="spellStart"/>
      <w:r w:rsidRPr="00727956">
        <w:rPr>
          <w:rFonts w:ascii="Cambria" w:hAnsi="Cambria" w:cs="Arial Narrow"/>
        </w:rPr>
        <w:t>обл</w:t>
      </w:r>
      <w:proofErr w:type="spellEnd"/>
      <w:r w:rsidRPr="00727956">
        <w:rPr>
          <w:rFonts w:ascii="Cambria" w:hAnsi="Cambria" w:cs="Arial Narrow"/>
        </w:rPr>
        <w:t>. Хасково.</w:t>
      </w:r>
    </w:p>
    <w:bookmarkEnd w:id="0"/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Строителството на </w:t>
      </w:r>
      <w:proofErr w:type="spellStart"/>
      <w:r w:rsidRPr="00727956">
        <w:rPr>
          <w:rFonts w:ascii="Cambria" w:hAnsi="Cambria" w:cs="Arial Narrow"/>
        </w:rPr>
        <w:t>балнеохотел</w:t>
      </w:r>
      <w:proofErr w:type="spellEnd"/>
      <w:r w:rsidRPr="00727956">
        <w:rPr>
          <w:rFonts w:ascii="Cambria" w:hAnsi="Cambria" w:cs="Arial Narrow"/>
        </w:rPr>
        <w:t xml:space="preserve"> „Божур” е започнато през 2004 г. и понастоящем строежа е спрян /не се извършват СМР/. Разрешение за строеж № 4/24.03.2004 г., издадено от главния архитект на Община Минерални бани.</w:t>
      </w:r>
    </w:p>
    <w:p w:rsidR="00F87F03" w:rsidRPr="00727956" w:rsidRDefault="00F87F03" w:rsidP="00727956">
      <w:pPr>
        <w:pStyle w:val="Text3"/>
        <w:tabs>
          <w:tab w:val="clear" w:pos="2302"/>
          <w:tab w:val="left" w:pos="851"/>
        </w:tabs>
        <w:spacing w:after="0"/>
        <w:ind w:left="0"/>
        <w:rPr>
          <w:rFonts w:ascii="Cambria" w:hAnsi="Cambria" w:cs="Arial Narrow"/>
          <w:b/>
          <w:bCs/>
          <w:lang w:val="bg-BG"/>
        </w:rPr>
      </w:pPr>
      <w:r w:rsidRPr="00727956">
        <w:rPr>
          <w:rFonts w:ascii="Cambria" w:hAnsi="Cambria" w:cs="Arial Narrow"/>
          <w:b/>
          <w:bCs/>
          <w:lang w:val="bg-BG"/>
        </w:rPr>
        <w:tab/>
        <w:t>Строително-монтажните работи следва да се изпълнят съобразно Инвестиционен проект, одобрен от Община Минерални бани през месец март 2004г., изготвени Количествено-стойностни сметки към него, и Разрешение за строеж №4/24.03.2004 г.,</w:t>
      </w:r>
      <w:r w:rsidRPr="00727956">
        <w:rPr>
          <w:rFonts w:ascii="Cambria" w:hAnsi="Cambria" w:cs="Arial Narrow"/>
          <w:lang w:val="bg-BG"/>
        </w:rPr>
        <w:t xml:space="preserve"> </w:t>
      </w:r>
      <w:r w:rsidRPr="00727956">
        <w:rPr>
          <w:rFonts w:ascii="Cambria" w:hAnsi="Cambria" w:cs="Arial Narrow"/>
          <w:b/>
          <w:bCs/>
          <w:lang w:val="bg-BG"/>
        </w:rPr>
        <w:t>които представляват неразделна част от настоящето техническо задание.</w:t>
      </w:r>
    </w:p>
    <w:p w:rsidR="00F87F03" w:rsidRPr="00727956" w:rsidRDefault="00F87F03" w:rsidP="00727956">
      <w:pPr>
        <w:pStyle w:val="Title"/>
        <w:jc w:val="both"/>
        <w:rPr>
          <w:rFonts w:ascii="Cambria" w:hAnsi="Cambria" w:cs="Arial Narrow"/>
          <w:sz w:val="24"/>
          <w:szCs w:val="24"/>
        </w:rPr>
      </w:pPr>
    </w:p>
    <w:p w:rsidR="00F87F03" w:rsidRPr="00727956" w:rsidRDefault="008419FD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 Преустроената сграда</w:t>
      </w:r>
      <w:r w:rsidR="00F87F03" w:rsidRPr="00727956">
        <w:rPr>
          <w:rFonts w:ascii="Cambria" w:hAnsi="Cambria" w:cs="Arial Narrow"/>
        </w:rPr>
        <w:t xml:space="preserve"> е съществуваща, разположението й е показано на ситуацията към проектната документация.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Сградата има опростен обем, пет етажна е със сутерен. Покривът е </w:t>
      </w:r>
      <w:proofErr w:type="spellStart"/>
      <w:r w:rsidRPr="00727956">
        <w:rPr>
          <w:rFonts w:ascii="Cambria" w:hAnsi="Cambria" w:cs="Arial Narrow"/>
        </w:rPr>
        <w:t>двускатен</w:t>
      </w:r>
      <w:proofErr w:type="spellEnd"/>
      <w:r w:rsidRPr="00727956">
        <w:rPr>
          <w:rFonts w:ascii="Cambria" w:hAnsi="Cambria" w:cs="Arial Narrow"/>
        </w:rPr>
        <w:t xml:space="preserve"> със стоманобетонна конструкция, който съгласно проекта се ремонтира основно.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Тази част на обекта е функционално свързана с нова сграда - пристройка, разположението на която съвпада със старото на старата сграда. В резултат на преустройството  на съществуващите ІІ-ри, ІІІ-ти, ІV-ти етажи е запазено изцяло разпределението, на ІV-ти етаж, на мястото на предвидената </w:t>
      </w:r>
      <w:proofErr w:type="spellStart"/>
      <w:r w:rsidRPr="00727956">
        <w:rPr>
          <w:rFonts w:ascii="Cambria" w:hAnsi="Cambria" w:cs="Arial Narrow"/>
        </w:rPr>
        <w:t>конферентна</w:t>
      </w:r>
      <w:proofErr w:type="spellEnd"/>
      <w:r w:rsidRPr="00727956">
        <w:rPr>
          <w:rFonts w:ascii="Cambria" w:hAnsi="Cambria" w:cs="Arial Narrow"/>
        </w:rPr>
        <w:t xml:space="preserve"> зала са обособени нови хотелски стаи и апартаменти, а на първи етаж е направено разположението на </w:t>
      </w:r>
      <w:proofErr w:type="spellStart"/>
      <w:r w:rsidRPr="00727956">
        <w:rPr>
          <w:rFonts w:ascii="Cambria" w:hAnsi="Cambria" w:cs="Arial Narrow"/>
        </w:rPr>
        <w:t>рехабилитационен</w:t>
      </w:r>
      <w:proofErr w:type="spellEnd"/>
      <w:r w:rsidRPr="00727956">
        <w:rPr>
          <w:rFonts w:ascii="Cambria" w:hAnsi="Cambria" w:cs="Arial Narrow"/>
        </w:rPr>
        <w:t xml:space="preserve"> и възстановителен център. В преустроената сграда </w:t>
      </w:r>
      <w:proofErr w:type="spellStart"/>
      <w:r w:rsidRPr="00727956">
        <w:rPr>
          <w:rFonts w:ascii="Cambria" w:hAnsi="Cambria" w:cs="Arial Narrow"/>
        </w:rPr>
        <w:t>рехабилитационно-възстановителният</w:t>
      </w:r>
      <w:proofErr w:type="spellEnd"/>
      <w:r w:rsidRPr="00727956">
        <w:rPr>
          <w:rFonts w:ascii="Cambria" w:hAnsi="Cambria" w:cs="Arial Narrow"/>
        </w:rPr>
        <w:t xml:space="preserve"> център е частичен – проектирани и изградени са само балнеолечението, </w:t>
      </w:r>
      <w:proofErr w:type="spellStart"/>
      <w:r w:rsidRPr="00727956">
        <w:rPr>
          <w:rFonts w:ascii="Cambria" w:hAnsi="Cambria" w:cs="Arial Narrow"/>
        </w:rPr>
        <w:t>парафино</w:t>
      </w:r>
      <w:proofErr w:type="spellEnd"/>
      <w:r w:rsidRPr="00727956">
        <w:rPr>
          <w:rFonts w:ascii="Cambria" w:hAnsi="Cambria" w:cs="Arial Narrow"/>
        </w:rPr>
        <w:t xml:space="preserve"> и </w:t>
      </w:r>
      <w:proofErr w:type="spellStart"/>
      <w:r w:rsidRPr="00727956">
        <w:rPr>
          <w:rFonts w:ascii="Cambria" w:hAnsi="Cambria" w:cs="Arial Narrow"/>
        </w:rPr>
        <w:t>луголечение</w:t>
      </w:r>
      <w:proofErr w:type="spellEnd"/>
      <w:r w:rsidRPr="00727956">
        <w:rPr>
          <w:rFonts w:ascii="Cambria" w:hAnsi="Cambria" w:cs="Arial Narrow"/>
        </w:rPr>
        <w:t xml:space="preserve">, а в новата сграда /пристройка/, функционално свързан с етажа, са обособени - </w:t>
      </w:r>
      <w:proofErr w:type="spellStart"/>
      <w:r w:rsidRPr="00727956">
        <w:rPr>
          <w:rFonts w:ascii="Cambria" w:hAnsi="Cambria" w:cs="Arial Narrow"/>
        </w:rPr>
        <w:t>кинезотерапия</w:t>
      </w:r>
      <w:proofErr w:type="spellEnd"/>
      <w:r w:rsidRPr="00727956">
        <w:rPr>
          <w:rFonts w:ascii="Cambria" w:hAnsi="Cambria" w:cs="Arial Narrow"/>
        </w:rPr>
        <w:t xml:space="preserve">, физиотерапия.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Сутерена е запазен изцяло, като се ремонтира и помещенията се използват за техническо оборудване и складове към хотелската част.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 първи етаж освен мед. център са обособени рецепцията, лекарски кабинет и манипулационна, както и санитарно- битови помещения за персонала.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През етаж е предвидена стая за хигиенист. На всяка междинна </w:t>
      </w:r>
      <w:proofErr w:type="spellStart"/>
      <w:r w:rsidRPr="00727956">
        <w:rPr>
          <w:rFonts w:ascii="Cambria" w:hAnsi="Cambria" w:cs="Arial Narrow"/>
        </w:rPr>
        <w:t>стълбищна</w:t>
      </w:r>
      <w:proofErr w:type="spellEnd"/>
      <w:r w:rsidRPr="00727956">
        <w:rPr>
          <w:rFonts w:ascii="Cambria" w:hAnsi="Cambria" w:cs="Arial Narrow"/>
        </w:rPr>
        <w:t xml:space="preserve"> площадка е предвиден по един малък склад за бельо, а големи – в сутерена.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Предвидената </w:t>
      </w:r>
      <w:proofErr w:type="spellStart"/>
      <w:r w:rsidRPr="00727956">
        <w:rPr>
          <w:rFonts w:ascii="Cambria" w:hAnsi="Cambria" w:cs="Arial Narrow"/>
        </w:rPr>
        <w:t>леглобаза</w:t>
      </w:r>
      <w:proofErr w:type="spellEnd"/>
      <w:r w:rsidRPr="00727956">
        <w:rPr>
          <w:rFonts w:ascii="Cambria" w:hAnsi="Cambria" w:cs="Arial Narrow"/>
        </w:rPr>
        <w:t xml:space="preserve"> е разпределена по етажи, както следва:</w:t>
      </w:r>
    </w:p>
    <w:p w:rsidR="00F87F03" w:rsidRPr="00727956" w:rsidRDefault="00F87F03" w:rsidP="00727956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І-ви хотелски етаж – кота +3,20 м – 10 стаи за две легла – общо – 20 легла;</w:t>
      </w:r>
    </w:p>
    <w:p w:rsidR="00F87F03" w:rsidRPr="00727956" w:rsidRDefault="00F87F03" w:rsidP="00727956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ІІ-ри хотелски етаж – кота +6,40 м – 10 стаи за две легла, 1 стая за едно легло и един апартамент – общо – 24 легла;</w:t>
      </w:r>
    </w:p>
    <w:p w:rsidR="00F87F03" w:rsidRPr="00727956" w:rsidRDefault="00F87F03" w:rsidP="00727956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ІІІ-ти хотелски етаж +9,40 м – 10 стои за две легла, 1 стая за едно легло и един апартамент – общо – 24 легла;</w:t>
      </w:r>
    </w:p>
    <w:p w:rsidR="00F87F03" w:rsidRPr="00727956" w:rsidRDefault="00F87F03" w:rsidP="00727956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ІV-ти хотелски етаж - +12,40 м – 3 стаи за две легла, 3 бр. апартаменти – общо – 15 легла;</w:t>
      </w:r>
    </w:p>
    <w:p w:rsidR="00F87F03" w:rsidRPr="00727956" w:rsidRDefault="00F87F03" w:rsidP="00727956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Общо проектният капацитет на преустроената сграда е за 83 легла.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lastRenderedPageBreak/>
        <w:t>Конструкцията на сградата не е засегната с преустройството. Носещата конструкция на съществуващата сграда е монолитна стоманобетонна - стоманобетонни плочи, греди, пояси и тухлени преграждащи зидове.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За интериора довършителните работи са подробно показани </w:t>
      </w:r>
      <w:r w:rsidR="00204D9F" w:rsidRPr="00727956">
        <w:rPr>
          <w:rFonts w:ascii="Cambria" w:hAnsi="Cambria" w:cs="Arial Narrow"/>
        </w:rPr>
        <w:t>в проекта Част „Архитектура“</w:t>
      </w:r>
    </w:p>
    <w:p w:rsidR="00F87F03" w:rsidRPr="00727956" w:rsidRDefault="00993CFC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Подновена е </w:t>
      </w:r>
      <w:r w:rsidR="00F87F03" w:rsidRPr="00727956">
        <w:rPr>
          <w:rFonts w:ascii="Cambria" w:hAnsi="Cambria" w:cs="Arial Narrow"/>
        </w:rPr>
        <w:t xml:space="preserve">изцяло покривната изолация и покритие на преустрояваната сграда – изпълнява се от: битумни керемиди и дървена обшивка. Ограждащите външни стени са облицовани със стиродур – топлоизолация, която е монтирана отвън и мазилката върху нея е структурна. Сменена е дограмата на цялата сграда, като външната е от PVC със стъклопакет, съгласно приложената спецификация към проекта. Отводняването на сградата е решено външно чрез </w:t>
      </w:r>
      <w:proofErr w:type="spellStart"/>
      <w:r w:rsidR="00F87F03" w:rsidRPr="00727956">
        <w:rPr>
          <w:rFonts w:ascii="Cambria" w:hAnsi="Cambria" w:cs="Arial Narrow"/>
        </w:rPr>
        <w:t>вод</w:t>
      </w:r>
      <w:proofErr w:type="spellEnd"/>
      <w:r w:rsidR="00F87F03" w:rsidRPr="00727956">
        <w:rPr>
          <w:rFonts w:ascii="Cambria" w:hAnsi="Cambria" w:cs="Arial Narrow"/>
        </w:rPr>
        <w:t>. тръби и улуци.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В тази част на обекта довършителните работи са извършени в по-голямата си част. Дограмата е поставена и остъклена. Извършено е преустройството на </w:t>
      </w:r>
      <w:proofErr w:type="spellStart"/>
      <w:r w:rsidRPr="00727956">
        <w:rPr>
          <w:rFonts w:ascii="Cambria" w:hAnsi="Cambria" w:cs="Arial Narrow"/>
        </w:rPr>
        <w:t>подпокривното</w:t>
      </w:r>
      <w:proofErr w:type="spellEnd"/>
      <w:r w:rsidRPr="00727956">
        <w:rPr>
          <w:rFonts w:ascii="Cambria" w:hAnsi="Cambria" w:cs="Arial Narrow"/>
        </w:rPr>
        <w:t xml:space="preserve"> пространство в груб вид. Изпълнена е топлоизолацията по фасадите с частични изключения.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Изпълнени са инсталационните тръбни </w:t>
      </w:r>
      <w:proofErr w:type="spellStart"/>
      <w:r w:rsidRPr="00727956">
        <w:rPr>
          <w:rFonts w:ascii="Cambria" w:hAnsi="Cambria" w:cs="Arial Narrow"/>
        </w:rPr>
        <w:t>разводки</w:t>
      </w:r>
      <w:proofErr w:type="spellEnd"/>
      <w:r w:rsidRPr="00727956">
        <w:rPr>
          <w:rFonts w:ascii="Cambria" w:hAnsi="Cambria" w:cs="Arial Narrow"/>
        </w:rPr>
        <w:t xml:space="preserve"> – вертикални и хоризонтални клонове на водопровода, канализацията, отоплението. Прокарани са кабелите на ел. инсталацията.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Пристройката е разположена на място на премахнатата стара сграда, като всичките й размери в план и ситуация са запазени. Вертикалната планировка на терена не се променя. Единствено се ремонтират и </w:t>
      </w:r>
      <w:proofErr w:type="spellStart"/>
      <w:r w:rsidRPr="00727956">
        <w:rPr>
          <w:rFonts w:ascii="Cambria" w:hAnsi="Cambria" w:cs="Arial Narrow"/>
        </w:rPr>
        <w:t>блогоустрояват</w:t>
      </w:r>
      <w:proofErr w:type="spellEnd"/>
      <w:r w:rsidRPr="00727956">
        <w:rPr>
          <w:rFonts w:ascii="Cambria" w:hAnsi="Cambria" w:cs="Arial Narrow"/>
        </w:rPr>
        <w:t xml:space="preserve"> наново терасовидните площадки пред сградата.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Сградата представлява свързани два опростени обема – единия на три етажа и частично четири, покрит с </w:t>
      </w:r>
      <w:proofErr w:type="spellStart"/>
      <w:r w:rsidRPr="00727956">
        <w:rPr>
          <w:rFonts w:ascii="Cambria" w:hAnsi="Cambria" w:cs="Arial Narrow"/>
        </w:rPr>
        <w:t>двускатен</w:t>
      </w:r>
      <w:proofErr w:type="spellEnd"/>
      <w:r w:rsidRPr="00727956">
        <w:rPr>
          <w:rFonts w:ascii="Cambria" w:hAnsi="Cambria" w:cs="Arial Narrow"/>
        </w:rPr>
        <w:t xml:space="preserve"> покрив и другия – на три етажа – с топъл плосък покрив. Наклонът на </w:t>
      </w:r>
      <w:proofErr w:type="spellStart"/>
      <w:r w:rsidRPr="00727956">
        <w:rPr>
          <w:rFonts w:ascii="Cambria" w:hAnsi="Cambria" w:cs="Arial Narrow"/>
        </w:rPr>
        <w:t>двускатния</w:t>
      </w:r>
      <w:proofErr w:type="spellEnd"/>
      <w:r w:rsidRPr="00727956">
        <w:rPr>
          <w:rFonts w:ascii="Cambria" w:hAnsi="Cambria" w:cs="Arial Narrow"/>
        </w:rPr>
        <w:t xml:space="preserve"> покрив повтаря същия наклон на сградата, към която е извършена настоящата пристройка. Покривът е с дървена конструкция, покрит с битумни керемиди, като </w:t>
      </w:r>
      <w:proofErr w:type="spellStart"/>
      <w:r w:rsidRPr="00727956">
        <w:rPr>
          <w:rFonts w:ascii="Cambria" w:hAnsi="Cambria" w:cs="Arial Narrow"/>
        </w:rPr>
        <w:t>подпокривното</w:t>
      </w:r>
      <w:proofErr w:type="spellEnd"/>
      <w:r w:rsidRPr="00727956">
        <w:rPr>
          <w:rFonts w:ascii="Cambria" w:hAnsi="Cambria" w:cs="Arial Narrow"/>
        </w:rPr>
        <w:t xml:space="preserve"> пространство е </w:t>
      </w:r>
      <w:proofErr w:type="spellStart"/>
      <w:r w:rsidRPr="00727956">
        <w:rPr>
          <w:rFonts w:ascii="Cambria" w:hAnsi="Cambria" w:cs="Arial Narrow"/>
        </w:rPr>
        <w:t>незползваемо</w:t>
      </w:r>
      <w:proofErr w:type="spellEnd"/>
      <w:r w:rsidRPr="00727956">
        <w:rPr>
          <w:rFonts w:ascii="Cambria" w:hAnsi="Cambria" w:cs="Arial Narrow"/>
        </w:rPr>
        <w:t>.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Пристройката е функционално свързана със старата. В нея са обособени – два хотелски етажа, като нивата им съвпадат със съществуващите и са функционално-свързани с тях, администрация, </w:t>
      </w:r>
      <w:proofErr w:type="spellStart"/>
      <w:r w:rsidRPr="00727956">
        <w:rPr>
          <w:rFonts w:ascii="Cambria" w:hAnsi="Cambria" w:cs="Arial Narrow"/>
        </w:rPr>
        <w:t>конферентна</w:t>
      </w:r>
      <w:proofErr w:type="spellEnd"/>
      <w:r w:rsidRPr="00727956">
        <w:rPr>
          <w:rFonts w:ascii="Cambria" w:hAnsi="Cambria" w:cs="Arial Narrow"/>
        </w:rPr>
        <w:t xml:space="preserve"> зала, столова с кухня към нея, кафенета – на І-ви и ІІІ-ти етажи, и част от медицински етаж – </w:t>
      </w:r>
      <w:proofErr w:type="spellStart"/>
      <w:r w:rsidRPr="00727956">
        <w:rPr>
          <w:rFonts w:ascii="Cambria" w:hAnsi="Cambria" w:cs="Arial Narrow"/>
        </w:rPr>
        <w:t>кенезотерапия</w:t>
      </w:r>
      <w:proofErr w:type="spellEnd"/>
      <w:r w:rsidRPr="00727956">
        <w:rPr>
          <w:rFonts w:ascii="Cambria" w:hAnsi="Cambria" w:cs="Arial Narrow"/>
        </w:rPr>
        <w:t xml:space="preserve"> и физиотерапия. 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Медицинския център е развит в двете части на сградата – в старата и новата, като е разположен на коти съответно: –1,00 и +/-0,00 м. 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В тази част е предвидена допълнителна </w:t>
      </w:r>
      <w:proofErr w:type="spellStart"/>
      <w:r w:rsidRPr="00727956">
        <w:rPr>
          <w:rFonts w:ascii="Cambria" w:hAnsi="Cambria" w:cs="Arial Narrow"/>
        </w:rPr>
        <w:t>стълб</w:t>
      </w:r>
      <w:bookmarkStart w:id="1" w:name="_GoBack"/>
      <w:bookmarkEnd w:id="1"/>
      <w:r w:rsidRPr="00727956">
        <w:rPr>
          <w:rFonts w:ascii="Cambria" w:hAnsi="Cambria" w:cs="Arial Narrow"/>
        </w:rPr>
        <w:t>ищна</w:t>
      </w:r>
      <w:proofErr w:type="spellEnd"/>
      <w:r w:rsidRPr="00727956">
        <w:rPr>
          <w:rFonts w:ascii="Cambria" w:hAnsi="Cambria" w:cs="Arial Narrow"/>
        </w:rPr>
        <w:t xml:space="preserve"> клетка, съгласно Наредба №2 – от противопожарна гледна точка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Допълнителната </w:t>
      </w:r>
      <w:proofErr w:type="spellStart"/>
      <w:r w:rsidRPr="00727956">
        <w:rPr>
          <w:rFonts w:ascii="Cambria" w:hAnsi="Cambria" w:cs="Arial Narrow"/>
        </w:rPr>
        <w:t>леглобаза</w:t>
      </w:r>
      <w:proofErr w:type="spellEnd"/>
      <w:r w:rsidRPr="00727956">
        <w:rPr>
          <w:rFonts w:ascii="Cambria" w:hAnsi="Cambria" w:cs="Arial Narrow"/>
        </w:rPr>
        <w:t>, реализирана с пристройката е разпределена по етажи, както следва:</w:t>
      </w:r>
    </w:p>
    <w:p w:rsidR="00F87F03" w:rsidRPr="00727956" w:rsidRDefault="00F87F03" w:rsidP="00727956">
      <w:pPr>
        <w:pStyle w:val="BodyText3"/>
        <w:numPr>
          <w:ilvl w:val="0"/>
          <w:numId w:val="1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І-ви хотелски етаж – кота +3,20м – 7 стаи за две легла – общо – 14 легла;</w:t>
      </w:r>
    </w:p>
    <w:p w:rsidR="00F87F03" w:rsidRPr="00727956" w:rsidRDefault="00F87F03" w:rsidP="00727956">
      <w:pPr>
        <w:pStyle w:val="BodyText3"/>
        <w:numPr>
          <w:ilvl w:val="0"/>
          <w:numId w:val="1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ІІ-ри хотелски етаж – кота + 6,40м – 7 стаи за две легла – общо 14 легла;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Общо проектният капацитет на преустроената сграда и настоящата пристройка е за 83 легла + 28 легла = 111 легла.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Конструкцията на сградата е монолитна скелетна стоманобетонна - плочи, греди и колони. Изпълнени са и ВНК /вертикални носещи конструкции/ -  стоманобетонни противоземетръсни шайби – за поемане на усилията от хоризонтални товари /земетръс, вятър и т.н./. Сградата е </w:t>
      </w:r>
      <w:proofErr w:type="spellStart"/>
      <w:r w:rsidRPr="00727956">
        <w:rPr>
          <w:rFonts w:ascii="Cambria" w:hAnsi="Cambria" w:cs="Arial Narrow"/>
        </w:rPr>
        <w:t>фундирана</w:t>
      </w:r>
      <w:proofErr w:type="spellEnd"/>
      <w:r w:rsidRPr="00727956">
        <w:rPr>
          <w:rFonts w:ascii="Cambria" w:hAnsi="Cambria" w:cs="Arial Narrow"/>
        </w:rPr>
        <w:t xml:space="preserve"> </w:t>
      </w:r>
      <w:r w:rsidR="009F5602" w:rsidRPr="00727956">
        <w:rPr>
          <w:rFonts w:ascii="Cambria" w:hAnsi="Cambria" w:cs="Arial Narrow"/>
        </w:rPr>
        <w:t>върху</w:t>
      </w:r>
      <w:r w:rsidRPr="00727956">
        <w:rPr>
          <w:rFonts w:ascii="Cambria" w:hAnsi="Cambria" w:cs="Arial Narrow"/>
        </w:rPr>
        <w:t xml:space="preserve"> скала.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Преградните стени са от тухлена зидария, а покривната конструкция е дървена.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lastRenderedPageBreak/>
        <w:t>За интериора довършителните работи са подробно показани в графичната част от проекта.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Покривът е покрит с битумни керемиди и дървена обшивка за стрехите. Ограждащите външни стени са облицовани със стиродур – топлоизолация, която е монтирана от вън, а мазилката върху нея е структурна. 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Пристройката  е изпълнена в груб вид - стоманобетонна носеща конструкция  до покрив и  е поставена дограмата.</w:t>
      </w:r>
    </w:p>
    <w:p w:rsidR="00F87F03" w:rsidRPr="00727956" w:rsidRDefault="00F87F03" w:rsidP="00727956">
      <w:pPr>
        <w:pStyle w:val="BodyText3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Дограмата е PVC със стъклопакет. Отводняването на сградата е решено външно чрез </w:t>
      </w:r>
      <w:proofErr w:type="spellStart"/>
      <w:r w:rsidRPr="00727956">
        <w:rPr>
          <w:rFonts w:ascii="Cambria" w:hAnsi="Cambria" w:cs="Arial Narrow"/>
        </w:rPr>
        <w:t>вод</w:t>
      </w:r>
      <w:proofErr w:type="spellEnd"/>
      <w:r w:rsidRPr="00727956">
        <w:rPr>
          <w:rFonts w:ascii="Cambria" w:hAnsi="Cambria" w:cs="Arial Narrow"/>
        </w:rPr>
        <w:t>. тръби и улуци.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Качеството на извършените СМР да бъде в съответствие с БДС, при спазване На действащите нормативни актове.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Фаянсовите плочки, </w:t>
      </w:r>
      <w:proofErr w:type="spellStart"/>
      <w:r w:rsidRPr="00727956">
        <w:rPr>
          <w:rFonts w:ascii="Cambria" w:hAnsi="Cambria" w:cs="Arial Narrow"/>
        </w:rPr>
        <w:t>терракот</w:t>
      </w:r>
      <w:proofErr w:type="spellEnd"/>
      <w:r w:rsidRPr="00727956">
        <w:rPr>
          <w:rFonts w:ascii="Cambria" w:hAnsi="Cambria" w:cs="Arial Narrow"/>
        </w:rPr>
        <w:t xml:space="preserve">, </w:t>
      </w:r>
      <w:proofErr w:type="spellStart"/>
      <w:r w:rsidRPr="00727956">
        <w:rPr>
          <w:rFonts w:ascii="Cambria" w:hAnsi="Cambria" w:cs="Arial Narrow"/>
        </w:rPr>
        <w:t>гранитогрес</w:t>
      </w:r>
      <w:proofErr w:type="spellEnd"/>
      <w:r w:rsidRPr="00727956">
        <w:rPr>
          <w:rFonts w:ascii="Cambria" w:hAnsi="Cambria" w:cs="Arial Narrow"/>
        </w:rPr>
        <w:t>, ламинат се полагат след представяне на мостри и одобряването им от Възложителя. Всички външни ръбове при фаянс и шпакловки</w:t>
      </w:r>
      <w:r w:rsidRPr="00727956">
        <w:rPr>
          <w:rFonts w:ascii="Cambria" w:hAnsi="Cambria" w:cs="Arial Narrow"/>
          <w:lang w:val="ru-RU"/>
        </w:rPr>
        <w:t xml:space="preserve"> (</w:t>
      </w:r>
      <w:proofErr w:type="spellStart"/>
      <w:r w:rsidRPr="00727956">
        <w:rPr>
          <w:rFonts w:ascii="Cambria" w:hAnsi="Cambria" w:cs="Arial Narrow"/>
        </w:rPr>
        <w:t>гипсокартон</w:t>
      </w:r>
      <w:proofErr w:type="spellEnd"/>
      <w:r w:rsidRPr="00727956">
        <w:rPr>
          <w:rFonts w:ascii="Cambria" w:hAnsi="Cambria" w:cs="Arial Narrow"/>
        </w:rPr>
        <w:t xml:space="preserve">) да се </w:t>
      </w:r>
      <w:r w:rsidR="009F5602" w:rsidRPr="00727956">
        <w:rPr>
          <w:rFonts w:ascii="Cambria" w:hAnsi="Cambria" w:cs="Arial Narrow"/>
        </w:rPr>
        <w:t>защитят</w:t>
      </w:r>
      <w:r w:rsidRPr="00727956">
        <w:rPr>
          <w:rFonts w:ascii="Cambria" w:hAnsi="Cambria" w:cs="Arial Narrow"/>
        </w:rPr>
        <w:t xml:space="preserve"> с предпазни ъглови профили. При извършване на бояджийски работи, всички цветове да се съгласуват задължително с Възложителя.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Всички строителни материали (продукти), които се влагат в строежа трябва да са с оценено съответствие съгласно „Наредба за съществените изисквания към строежите и оценяване съответствието на строителните продукти”, приета с ПМС № 325 от 06.12.2006 г. и/или да се посочат номерата на действащите стандарти с технически изисквания към продуктите - БДС; </w:t>
      </w:r>
      <w:proofErr w:type="spellStart"/>
      <w:r w:rsidRPr="00727956">
        <w:rPr>
          <w:rFonts w:ascii="Cambria" w:hAnsi="Cambria" w:cs="Arial Narrow"/>
        </w:rPr>
        <w:t>БДС</w:t>
      </w:r>
      <w:proofErr w:type="spellEnd"/>
      <w:r w:rsidRPr="00727956">
        <w:rPr>
          <w:rFonts w:ascii="Cambria" w:hAnsi="Cambria" w:cs="Arial Narrow"/>
        </w:rPr>
        <w:t xml:space="preserve"> ЕN, които въвеждат международни или европейски стандарти; БДС ЕN, които въвеждат хармонизирани европейски стандарти; Българско техническо одобрение и Европейско техническо одобрение. Строителните продукти трябва да са  придружени с „Декларация за съответствие”.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Гаранционните срокове са съгласно чл.160 ал.4 и ал. 5 от ЗУТ и чл.20 и чл.21 на Наредба № 2 от 2003 год. на МРРБ.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Изпълнителят е длъжен сам и за своя сметка да осигурява изискванията на Закона за здравословни и безопасни условия на труд и на Наредба № 2 от 22.05.2004 год. на МРРБ и МТСП за МИЗБУТИСМР.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Извършените СМР ще се приемат от упълномощени представители на Възложителя, като се изготвят необходимите актове, протоколи и финансово – счетоводни документи.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Депата за </w:t>
      </w:r>
      <w:r w:rsidR="009B0E5B" w:rsidRPr="00727956">
        <w:rPr>
          <w:rFonts w:ascii="Cambria" w:hAnsi="Cambria" w:cs="Arial Narrow"/>
        </w:rPr>
        <w:t>строителните</w:t>
      </w:r>
      <w:r w:rsidRPr="00727956">
        <w:rPr>
          <w:rFonts w:ascii="Cambria" w:hAnsi="Cambria" w:cs="Arial Narrow"/>
        </w:rPr>
        <w:t xml:space="preserve"> отпадъци трябва да се съгласуват предварително от Изпълнителя със заинтересованите служби и ведомства.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Изпълнителят е задължен да извършва всички изисквани от нормативната уредба изпитвания на инсталации, уредби и елементи по време на строителството. Да съдейства на представителя на Възложителя при контролни изпитвания чрез осигуряване на достъп, предоставяне на пробни тела и мостри.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При съставяне на протоколи и актове по Наредба № 3 на МРРБ от 31 юли 2003 г. Изпълнителят да дава незабавно копие от тях на Представителя на Възложителя. Да прилага текущия акт и/или протокол към Акта за извършени СМР.</w:t>
      </w:r>
    </w:p>
    <w:p w:rsidR="00F87F03" w:rsidRPr="009F5602" w:rsidRDefault="009F5602" w:rsidP="00727956">
      <w:pPr>
        <w:jc w:val="both"/>
        <w:rPr>
          <w:rFonts w:ascii="Cambria" w:hAnsi="Cambria" w:cs="Arial Narrow"/>
        </w:rPr>
      </w:pPr>
      <w:r w:rsidRPr="009F5602">
        <w:rPr>
          <w:rFonts w:ascii="Cambria" w:hAnsi="Cambria" w:cs="Arial Narrow"/>
        </w:rPr>
        <w:t>Изпълнението и при</w:t>
      </w:r>
      <w:r w:rsidR="00F87F03" w:rsidRPr="009F5602">
        <w:rPr>
          <w:rFonts w:ascii="Cambria" w:hAnsi="Cambria" w:cs="Arial Narrow"/>
        </w:rPr>
        <w:t>емането на строително монтажните работи ще става съгласно действащите нормативни документи ПИПСМР, ЗУТ и др. При изпълнението на строежа е необходимо стриктно до се спазва проекта</w:t>
      </w:r>
      <w:r w:rsidR="00F87F03" w:rsidRPr="009F5602">
        <w:rPr>
          <w:rFonts w:ascii="Cambria" w:hAnsi="Cambria" w:cs="Arial Narrow"/>
          <w:b/>
          <w:bCs/>
        </w:rPr>
        <w:t xml:space="preserve"> 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9F5602">
        <w:rPr>
          <w:rFonts w:ascii="Cambria" w:hAnsi="Cambria" w:cs="Arial Narrow"/>
        </w:rPr>
        <w:t>Изисква се описание от изпълнителя за мерките, които ще предприеме за опазването на околната среда по време на строителството. Изисква се предложение от изпълнителя за</w:t>
      </w:r>
      <w:r w:rsidRPr="00727956">
        <w:rPr>
          <w:rFonts w:ascii="Cambria" w:hAnsi="Cambria" w:cs="Arial Narrow"/>
        </w:rPr>
        <w:t xml:space="preserve"> изхвърляне на течни и твърди отпадъци. Необходимо е </w:t>
      </w:r>
      <w:r w:rsidRPr="00727956">
        <w:rPr>
          <w:rFonts w:ascii="Cambria" w:hAnsi="Cambria" w:cs="Arial Narrow"/>
        </w:rPr>
        <w:lastRenderedPageBreak/>
        <w:t>изпълнителят да вземе пред вид разпоредбите на Закона за управление на отпадъците (ДВ, бр.86/2003 г.).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При окончателното завършване на строително-монтажните работи се прави и основно почистване на обекта, като всички отпадъци се натоварват на камион и се извозват на определеното за целта депо.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СМР се извършват при строго съблюдаване на техниката на безопасност и охрана на труда, както и всички изисквания по ППО (Закон за здравословни и безопасни условия на труд). Задължително се прави застраховане по чл. 171 от ЗУТ и по Наредбата за задължително застраховане на работниците и служителите за риска „трудова злополука", важащо за целия период на договора.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Възложителят и упълномощените държавни органи извършват планови и внезапни проверки за гарантиране безопасни условия на труд по отношение на:</w:t>
      </w:r>
    </w:p>
    <w:p w:rsidR="00F87F03" w:rsidRPr="00727956" w:rsidRDefault="00F87F03" w:rsidP="00727956">
      <w:pPr>
        <w:pStyle w:val="ListParagraph"/>
        <w:numPr>
          <w:ilvl w:val="0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наличие на координатор по безопасност и план по безопасност на обекта, ако е </w:t>
      </w:r>
    </w:p>
    <w:p w:rsidR="00F87F03" w:rsidRPr="00727956" w:rsidRDefault="00F87F03" w:rsidP="00727956">
      <w:pPr>
        <w:pStyle w:val="ListParagraph"/>
        <w:ind w:left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     необходим;</w:t>
      </w:r>
    </w:p>
    <w:p w:rsidR="00F87F03" w:rsidRPr="00727956" w:rsidRDefault="00F87F03" w:rsidP="00727956">
      <w:pPr>
        <w:numPr>
          <w:ilvl w:val="1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наличие на обекта на инструкции за безопасност и здраве при работа, съобразно действащите нормативи, инструктажни книги, начин на провеждане на инструктажите за безопасна работа;</w:t>
      </w:r>
    </w:p>
    <w:p w:rsidR="00F87F03" w:rsidRPr="00727956" w:rsidRDefault="00F87F03" w:rsidP="00727956">
      <w:pPr>
        <w:numPr>
          <w:ilvl w:val="1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наличие на обекта и ползване на ЛПС - каски, колани, ръкавици, предпазни шлемове и др.;</w:t>
      </w:r>
    </w:p>
    <w:p w:rsidR="00F87F03" w:rsidRPr="00727956" w:rsidRDefault="00F87F03" w:rsidP="00727956">
      <w:pPr>
        <w:numPr>
          <w:ilvl w:val="1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организация на строителната площадка - козирки над входове на сгради, огради, предпазни фасадни мрежи;</w:t>
      </w:r>
    </w:p>
    <w:p w:rsidR="00F87F03" w:rsidRPr="00727956" w:rsidRDefault="00F87F03" w:rsidP="00727956">
      <w:pPr>
        <w:numPr>
          <w:ilvl w:val="1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начин за укрепване на тръбни фасадни скелета, начин на качване на работници и товари по скелето, работа във вертикала;</w:t>
      </w:r>
    </w:p>
    <w:p w:rsidR="00F87F03" w:rsidRPr="00727956" w:rsidRDefault="00F87F03" w:rsidP="00727956">
      <w:pPr>
        <w:numPr>
          <w:ilvl w:val="1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състояние на временното ел-захранване на строителната площадка - от гледна точка на безопасна експлоатация;</w:t>
      </w:r>
    </w:p>
    <w:p w:rsidR="00F87F03" w:rsidRPr="00727956" w:rsidRDefault="00F87F03" w:rsidP="00727956">
      <w:pPr>
        <w:pStyle w:val="ListParagraph"/>
        <w:numPr>
          <w:ilvl w:val="1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безопасно извършване на покривни работи;</w:t>
      </w:r>
    </w:p>
    <w:p w:rsidR="00F87F03" w:rsidRPr="00727956" w:rsidRDefault="00F87F03" w:rsidP="00727956">
      <w:pPr>
        <w:numPr>
          <w:ilvl w:val="1"/>
          <w:numId w:val="4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наличие на знаци и сигнализация на обекта, указващи посоки за движение и предупреждаващи за опасност (специално внимание следва да се обърне на сигнализацията, когато на обекта работят лица с нарушен слух);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 обекта се въвежда „Книга за инструктаж" на работното място, периодичен и извънреден инструктаж по безопасност, хигиена на труда и противопожарна охрана, одобрена с Наредба № 3 от 31.07.2003 г. на Министерството на труда и социалната политика и Министерство на здравеопазването.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Изпълнението на СМР трябва да се съобразят с всички нормативни актове по безопасност на труда за различните дейности, видове работи и работно оборудване, като:</w:t>
      </w:r>
    </w:p>
    <w:p w:rsidR="00F87F03" w:rsidRPr="00727956" w:rsidRDefault="00F87F03" w:rsidP="00727956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Наредба № 2 за минималните изисквания за здравословни и безопасни условия на труд при извършване на строителни и монтажни работи (ДВ, бр.37 от 2004 г.);</w:t>
      </w:r>
    </w:p>
    <w:p w:rsidR="00F87F03" w:rsidRPr="00727956" w:rsidRDefault="00F87F03" w:rsidP="00727956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Наредба № 4 за знаците и сигналите за безопасност на труда и противопожарна охрана (ДВ, бр.77 от 1995 г.), нормативните актове по безопасност на труда за различните дейности, видове работи и работно оборудване;</w:t>
      </w:r>
    </w:p>
    <w:p w:rsidR="00F87F03" w:rsidRPr="00727956" w:rsidRDefault="00F87F03" w:rsidP="00727956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Наредба № 3 за задължителните предварителни и периодични медицински прегледи (обн., ДВ, бр.16 от 1987 г., изм. бр.65 от 1991 г. и бр.102 от 1994 г., 78 от 2005 г.)</w:t>
      </w:r>
    </w:p>
    <w:p w:rsidR="00F87F03" w:rsidRPr="00727956" w:rsidRDefault="00F87F03" w:rsidP="00727956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Наредба № 5 за осигуряване на здравословни и безопасни условия на труд на работниците по срочно трудово правоотношение или временно трудово правоотношение (ДВ, бр.43 от 2006 г.)</w:t>
      </w:r>
    </w:p>
    <w:p w:rsidR="00F87F03" w:rsidRPr="00727956" w:rsidRDefault="00F87F03" w:rsidP="00727956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lastRenderedPageBreak/>
        <w:t>Наредба № 3 за минималните изисквания за безопасност и опазване на здравето на работещите при използване на лични предпазни средства на работното място. (ДВ, бр.46 от 2001 г.)и др.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 входа на площадката и на други подходящи места се поставят схеми с означение на местоположението на отделните подобекти /ако има такива/ и на маршрутите за движение на пътни превозни средства и на пешеходци. За преминаването на пешеходци над изкопи се използват обезопасени проходни мостчета, които се осветяват през тъмната част на денонощието.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Разстоянията от санитарно-битовите помещения до складовете, на които се съхраняват материали, опасни за здравето на работещите, включително </w:t>
      </w:r>
      <w:proofErr w:type="spellStart"/>
      <w:r w:rsidRPr="00727956">
        <w:rPr>
          <w:rFonts w:ascii="Cambria" w:hAnsi="Cambria" w:cs="Arial Narrow"/>
        </w:rPr>
        <w:t>пожаро</w:t>
      </w:r>
      <w:proofErr w:type="spellEnd"/>
      <w:r w:rsidRPr="00727956">
        <w:rPr>
          <w:rFonts w:ascii="Cambria" w:hAnsi="Cambria" w:cs="Arial Narrow"/>
        </w:rPr>
        <w:t xml:space="preserve">- или взривоопасни се съобразяват със санитарно-хигиенните изисквания и с изискванията за ПАБ.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Строителните отпадъци се съхраняват по подходящ начин . Не се допуска изхвърляне на строителни отпадъци или елементи от работно оборудване през отвори на етажите. За тази цел се използват кранове, подемници, закрити улеи или други подходящи приспособления и съответна опаковка.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В опасните зони достъпът на лица, неизвършващи СМР, се ограничава по подходящ начин. Когато опасната зона излиза извън границите на строителната площадка, в резултат на което се ограничава, затруднява или спира движението, тя се определя със схема за временна организация и безопасност на движението.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За обезопасяване на работното оборудване на строителната площадка се използват постоянни или временни </w:t>
      </w:r>
      <w:proofErr w:type="spellStart"/>
      <w:r w:rsidR="009B0E5B">
        <w:rPr>
          <w:rFonts w:ascii="Cambria" w:hAnsi="Cambria" w:cs="Arial Narrow"/>
        </w:rPr>
        <w:t>огражде</w:t>
      </w:r>
      <w:r w:rsidR="009B0E5B" w:rsidRPr="00727956">
        <w:rPr>
          <w:rFonts w:ascii="Cambria" w:hAnsi="Cambria" w:cs="Arial Narrow"/>
        </w:rPr>
        <w:t>ния</w:t>
      </w:r>
      <w:proofErr w:type="spellEnd"/>
      <w:r w:rsidRPr="00727956">
        <w:rPr>
          <w:rFonts w:ascii="Cambria" w:hAnsi="Cambria" w:cs="Arial Narrow"/>
        </w:rPr>
        <w:t xml:space="preserve"> (парапети, мрежи и др.). Отворите в строителни и конструктивни елементи (стени, етажни плочи, покриви и др.), които създават опасност за падане от височина се обезопасяват чрез парапети, </w:t>
      </w:r>
      <w:proofErr w:type="spellStart"/>
      <w:r w:rsidRPr="00727956">
        <w:rPr>
          <w:rFonts w:ascii="Cambria" w:hAnsi="Cambria" w:cs="Arial Narrow"/>
        </w:rPr>
        <w:t>ограждения</w:t>
      </w:r>
      <w:proofErr w:type="spellEnd"/>
      <w:r w:rsidRPr="00727956">
        <w:rPr>
          <w:rFonts w:ascii="Cambria" w:hAnsi="Cambria" w:cs="Arial Narrow"/>
        </w:rPr>
        <w:t xml:space="preserve"> или здрави покрития, които да понесат съответното натоварване и се означават и/или сигнализират по подходящ начин.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Преди началото на СМР за съществуващите на строителната площадка въздушни електропроводи се прилага една от следните мерки:</w:t>
      </w:r>
    </w:p>
    <w:p w:rsidR="00F87F03" w:rsidRPr="00727956" w:rsidRDefault="00F87F03" w:rsidP="00727956">
      <w:pPr>
        <w:pStyle w:val="ListParagraph"/>
        <w:numPr>
          <w:ilvl w:val="0"/>
          <w:numId w:val="8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изместване на безопасно разстояние от района на строителната площадка;</w:t>
      </w:r>
    </w:p>
    <w:p w:rsidR="00F87F03" w:rsidRPr="00727956" w:rsidRDefault="00F87F03" w:rsidP="00727956">
      <w:pPr>
        <w:pStyle w:val="ListParagraph"/>
        <w:numPr>
          <w:ilvl w:val="0"/>
          <w:numId w:val="8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изключване на напрежението в тях;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при невъзможност за изключване се поставят: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а) бариери (</w:t>
      </w:r>
      <w:r w:rsidR="009B0E5B" w:rsidRPr="00727956">
        <w:rPr>
          <w:rFonts w:ascii="Cambria" w:hAnsi="Cambria" w:cs="Arial Narrow"/>
        </w:rPr>
        <w:t>ограждания</w:t>
      </w:r>
      <w:r w:rsidRPr="00727956">
        <w:rPr>
          <w:rFonts w:ascii="Cambria" w:hAnsi="Cambria" w:cs="Arial Narrow"/>
        </w:rPr>
        <w:t>) или знаци и сигнали така, че да се осигури безопасно разстояние до електропроводите;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б)подходящи предупредителни устройства и висящи защити, ако под тях ще преминават транспортни средства.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Бригадирите, майсторите, механиците, обслужващите строителните машини и помощния персонал имат следните задължения:</w:t>
      </w:r>
    </w:p>
    <w:p w:rsidR="00F87F03" w:rsidRPr="00727956" w:rsidRDefault="00F87F03" w:rsidP="00727956">
      <w:pPr>
        <w:pStyle w:val="ListParagraph"/>
        <w:numPr>
          <w:ilvl w:val="0"/>
          <w:numId w:val="11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на всички опасни места трябва да се поставят предупредителни знаци, надписи, указания и инструкции по техника на безопасността;</w:t>
      </w:r>
    </w:p>
    <w:p w:rsidR="00F87F03" w:rsidRPr="00727956" w:rsidRDefault="00F87F03" w:rsidP="00727956">
      <w:pPr>
        <w:pStyle w:val="ListParagraph"/>
        <w:numPr>
          <w:ilvl w:val="0"/>
          <w:numId w:val="11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всички бригадири и работници на обекта са длъжни да използват предпазни каски;</w:t>
      </w:r>
    </w:p>
    <w:p w:rsidR="00F87F03" w:rsidRPr="00727956" w:rsidRDefault="00F87F03" w:rsidP="00727956">
      <w:pPr>
        <w:pStyle w:val="ListParagraph"/>
        <w:numPr>
          <w:ilvl w:val="0"/>
          <w:numId w:val="11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даване на първа медицинска помощ през време на работа на работните места;</w:t>
      </w:r>
    </w:p>
    <w:p w:rsidR="00F87F03" w:rsidRPr="00727956" w:rsidRDefault="00F87F03" w:rsidP="00727956">
      <w:pPr>
        <w:pStyle w:val="ListParagraph"/>
        <w:numPr>
          <w:ilvl w:val="0"/>
          <w:numId w:val="11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новопостъпилите работници могат да бъдат допуснати до работа само след преминаване на инструктаж по безопасност и хигиена на труда, както и встъпителен производствен инструктаж, </w:t>
      </w:r>
      <w:r w:rsidR="009B0E5B" w:rsidRPr="00727956">
        <w:rPr>
          <w:rFonts w:ascii="Cambria" w:hAnsi="Cambria" w:cs="Arial Narrow"/>
        </w:rPr>
        <w:t>отразено</w:t>
      </w:r>
      <w:r w:rsidRPr="00727956">
        <w:rPr>
          <w:rFonts w:ascii="Cambria" w:hAnsi="Cambria" w:cs="Arial Narrow"/>
        </w:rPr>
        <w:t xml:space="preserve"> с подписа им в съответните дневници;</w:t>
      </w:r>
    </w:p>
    <w:p w:rsidR="00F87F03" w:rsidRPr="00727956" w:rsidRDefault="00F87F03" w:rsidP="00727956">
      <w:pPr>
        <w:pStyle w:val="ListParagraph"/>
        <w:numPr>
          <w:ilvl w:val="0"/>
          <w:numId w:val="11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бригадирите и майсторите са длъжни да поддържат чисти работните места и да упражняват постоянен контрол и надзор за правилно и безаварийно водене на работите;</w:t>
      </w:r>
    </w:p>
    <w:p w:rsidR="00F87F03" w:rsidRPr="00727956" w:rsidRDefault="00F87F03" w:rsidP="00727956">
      <w:pPr>
        <w:pStyle w:val="ListParagraph"/>
        <w:numPr>
          <w:ilvl w:val="0"/>
          <w:numId w:val="11"/>
        </w:numPr>
        <w:ind w:left="0" w:firstLine="0"/>
        <w:jc w:val="both"/>
        <w:rPr>
          <w:rFonts w:ascii="Cambria" w:hAnsi="Cambria" w:cs="Arial Narrow"/>
        </w:rPr>
      </w:pPr>
      <w:proofErr w:type="spellStart"/>
      <w:r w:rsidRPr="00727956">
        <w:rPr>
          <w:rFonts w:ascii="Cambria" w:hAnsi="Cambria" w:cs="Arial Narrow"/>
        </w:rPr>
        <w:lastRenderedPageBreak/>
        <w:t>товаро-разтоварните</w:t>
      </w:r>
      <w:proofErr w:type="spellEnd"/>
      <w:r w:rsidRPr="00727956">
        <w:rPr>
          <w:rFonts w:ascii="Cambria" w:hAnsi="Cambria" w:cs="Arial Narrow"/>
        </w:rPr>
        <w:t xml:space="preserve"> дейности с тежки товари да се извършват под ръководството на лице, длъжно да контролира спазването на безопасни начини за извършване на тези дейности.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Горепосочените мероприятия и извлечения от норми и правила по техника на безопасността на СМР не изчерпват всички въпроси, свързани с безопасността на работата при строителството.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Участниците следва да представят реалистичен и изпълним от гледна точка на технологичните процеси в строителството, подробен линеен график за изпълнение на СМР, който да отразява </w:t>
      </w:r>
      <w:r w:rsidR="009B0E5B" w:rsidRPr="00727956">
        <w:rPr>
          <w:rFonts w:ascii="Cambria" w:hAnsi="Cambria" w:cs="Arial Narrow"/>
        </w:rPr>
        <w:t>взаимовръзките</w:t>
      </w:r>
      <w:r w:rsidRPr="00727956">
        <w:rPr>
          <w:rFonts w:ascii="Cambria" w:hAnsi="Cambria" w:cs="Arial Narrow"/>
        </w:rPr>
        <w:t xml:space="preserve"> в строителството и да обосновава и доказва предложения в офертата срок за изпълнение на поръчката.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При изготвяне на линейния график участниците трябва да съобразят  времето за доставка на материали, необходими за строителството, което да е съобразено с възможностите и капацитета на производителите/доставчиците да осигурят регулярност на доставка на голям обем от необходимите материали. </w:t>
      </w:r>
    </w:p>
    <w:p w:rsidR="00F87F03" w:rsidRPr="00727956" w:rsidRDefault="00F87F03" w:rsidP="00727956">
      <w:pPr>
        <w:numPr>
          <w:ilvl w:val="0"/>
          <w:numId w:val="5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да се посочат сроковете и последователността на изпълнение на отделните видове СМР; </w:t>
      </w:r>
    </w:p>
    <w:p w:rsidR="00F87F03" w:rsidRPr="00727956" w:rsidRDefault="00F87F03" w:rsidP="00727956">
      <w:pPr>
        <w:numPr>
          <w:ilvl w:val="0"/>
          <w:numId w:val="5"/>
        </w:numPr>
        <w:ind w:left="0" w:firstLine="0"/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Начален срок за изпълнение на предмета на Договора е датата на протокола за предаване на строителната площадка; </w:t>
      </w:r>
    </w:p>
    <w:p w:rsidR="00F87F03" w:rsidRPr="00727956" w:rsidRDefault="00F87F03" w:rsidP="00727956">
      <w:pPr>
        <w:jc w:val="both"/>
        <w:rPr>
          <w:rFonts w:ascii="Cambria" w:hAnsi="Cambria" w:cs="Arial Narrow"/>
          <w:highlight w:val="yellow"/>
        </w:rPr>
      </w:pPr>
      <w:r w:rsidRPr="00727956">
        <w:rPr>
          <w:rFonts w:ascii="Cambria" w:hAnsi="Cambria" w:cs="Arial Narrow"/>
        </w:rPr>
        <w:t xml:space="preserve"> -   Крайният срок за изпълнение </w:t>
      </w:r>
      <w:r w:rsidR="00E63E5A" w:rsidRPr="00727956">
        <w:rPr>
          <w:rFonts w:ascii="Cambria" w:hAnsi="Cambria" w:cs="Arial Narrow"/>
        </w:rPr>
        <w:t xml:space="preserve"> строителството </w:t>
      </w:r>
      <w:r w:rsidRPr="00727956">
        <w:rPr>
          <w:rFonts w:ascii="Cambria" w:hAnsi="Cambria" w:cs="Arial Narrow"/>
        </w:rPr>
        <w:t>е датата на подписване на  Приемо-предавателен протокол з</w:t>
      </w:r>
      <w:r w:rsidR="00E63E5A" w:rsidRPr="00727956">
        <w:rPr>
          <w:rFonts w:ascii="Cambria" w:hAnsi="Cambria" w:cs="Arial Narrow"/>
        </w:rPr>
        <w:t>а окончателно завършване на СМР – Акт Образец 15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При попълване и остойностяване на „количествена сметка” по </w:t>
      </w:r>
      <w:r w:rsidR="00727956" w:rsidRPr="00727956">
        <w:rPr>
          <w:rFonts w:ascii="Cambria" w:hAnsi="Cambria" w:cs="Arial Narrow"/>
        </w:rPr>
        <w:t>отделните</w:t>
      </w:r>
      <w:r w:rsidRPr="00727956">
        <w:rPr>
          <w:rFonts w:ascii="Cambria" w:hAnsi="Cambria" w:cs="Arial Narrow"/>
        </w:rPr>
        <w:t xml:space="preserve"> части на Инвестиционния проект от Документацията всеки участник е длъжен да направи оглед на обекта, за да се запознае подробно с </w:t>
      </w:r>
      <w:r w:rsidR="00727956" w:rsidRPr="00727956">
        <w:rPr>
          <w:rFonts w:ascii="Cambria" w:hAnsi="Cambria" w:cs="Arial Narrow"/>
        </w:rPr>
        <w:t>„Техническа спецификация</w:t>
      </w:r>
      <w:r w:rsidRPr="00727956">
        <w:rPr>
          <w:rFonts w:ascii="Cambria" w:hAnsi="Cambria" w:cs="Arial Narrow"/>
        </w:rPr>
        <w:t xml:space="preserve">” от Документацията и да вземе всичко в предвид при определяне на единичните цени по всички позиции. </w:t>
      </w:r>
    </w:p>
    <w:p w:rsidR="00F87F03" w:rsidRPr="00727956" w:rsidRDefault="00F87F03" w:rsidP="00727956">
      <w:pPr>
        <w:jc w:val="both"/>
        <w:rPr>
          <w:rFonts w:ascii="Cambria" w:hAnsi="Cambria" w:cs="Arial Narrow"/>
          <w:b/>
          <w:bCs/>
        </w:rPr>
      </w:pPr>
      <w:r w:rsidRPr="00727956">
        <w:rPr>
          <w:rFonts w:ascii="Cambria" w:hAnsi="Cambria" w:cs="Arial Narrow"/>
          <w:b/>
          <w:bCs/>
        </w:rPr>
        <w:t xml:space="preserve">Материали за Архитектурни монтажни и ремонтно-строителни работи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Всяка доставка на материали на строителната площадка или в складовете на изпълнителя трябва да бъде придружено със сертификат за качество в </w:t>
      </w:r>
      <w:r w:rsidR="009B0E5B" w:rsidRPr="00727956">
        <w:rPr>
          <w:rFonts w:ascii="Cambria" w:hAnsi="Cambria" w:cs="Arial Narrow"/>
        </w:rPr>
        <w:t>съответствие</w:t>
      </w:r>
      <w:r w:rsidRPr="00727956">
        <w:rPr>
          <w:rFonts w:ascii="Cambria" w:hAnsi="Cambria" w:cs="Arial Narrow"/>
        </w:rPr>
        <w:t xml:space="preserve"> с определените технически стандарти, спецификации или одобрени мостри и каталози и трябва да бъдат внимателно съхранявани до влагането им в работите. Всички произведени продукт или оборудване, които ще бъдат вложени в работите да бъдат доставени с всички необходими аксесоари, фиксатори и детайли, фасонни части, придружени с наръчници за </w:t>
      </w:r>
      <w:r w:rsidR="009B0E5B" w:rsidRPr="00727956">
        <w:rPr>
          <w:rFonts w:ascii="Cambria" w:hAnsi="Cambria" w:cs="Arial Narrow"/>
        </w:rPr>
        <w:t>експлоатация</w:t>
      </w:r>
      <w:r w:rsidRPr="00727956">
        <w:rPr>
          <w:rFonts w:ascii="Cambria" w:hAnsi="Cambria" w:cs="Arial Narrow"/>
        </w:rPr>
        <w:t xml:space="preserve"> и </w:t>
      </w:r>
      <w:r w:rsidR="009B0E5B" w:rsidRPr="00727956">
        <w:rPr>
          <w:rFonts w:ascii="Cambria" w:hAnsi="Cambria" w:cs="Arial Narrow"/>
        </w:rPr>
        <w:t>поддръжка</w:t>
      </w:r>
      <w:r w:rsidRPr="00727956">
        <w:rPr>
          <w:rFonts w:ascii="Cambria" w:hAnsi="Cambria" w:cs="Arial Narrow"/>
        </w:rPr>
        <w:t xml:space="preserve">, където да могат да  се приложат такива. При липса на сертификат да се прилагат лабораторни документи и заключения, които да доказват тяхната годност за употреба. 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  <w:b/>
          <w:bCs/>
        </w:rPr>
        <w:t>Материалът за изпълнение на бояджийските работи</w:t>
      </w:r>
      <w:r w:rsidRPr="00727956">
        <w:rPr>
          <w:rFonts w:ascii="Cambria" w:hAnsi="Cambria" w:cs="Arial Narrow"/>
        </w:rPr>
        <w:t xml:space="preserve"> трябва да бъде съгласно посочените в проектната документация (постна боя, блажна боя, </w:t>
      </w:r>
      <w:proofErr w:type="spellStart"/>
      <w:r w:rsidRPr="00727956">
        <w:rPr>
          <w:rFonts w:ascii="Cambria" w:hAnsi="Cambria" w:cs="Arial Narrow"/>
        </w:rPr>
        <w:t>латексови</w:t>
      </w:r>
      <w:proofErr w:type="spellEnd"/>
      <w:r w:rsidRPr="00727956">
        <w:rPr>
          <w:rFonts w:ascii="Cambria" w:hAnsi="Cambria" w:cs="Arial Narrow"/>
        </w:rPr>
        <w:t xml:space="preserve"> бои и др.). Бояджийските материали да бъдат набавени от утвърден производител и трябва да</w:t>
      </w:r>
      <w:r w:rsidR="00727956">
        <w:rPr>
          <w:rFonts w:ascii="Cambria" w:hAnsi="Cambria" w:cs="Arial Narrow"/>
        </w:rPr>
        <w:t xml:space="preserve"> </w:t>
      </w:r>
      <w:r w:rsidRPr="00727956">
        <w:rPr>
          <w:rFonts w:ascii="Cambria" w:hAnsi="Cambria" w:cs="Arial Narrow"/>
        </w:rPr>
        <w:t xml:space="preserve">бъдат доставени готово смесени в уплътнени (залепени) нови контейнери на производителя. Всеки контейнер трябва да носи търговската марка и името, </w:t>
      </w:r>
      <w:r w:rsidR="00727956" w:rsidRPr="00727956">
        <w:rPr>
          <w:rFonts w:ascii="Cambria" w:hAnsi="Cambria" w:cs="Arial Narrow"/>
        </w:rPr>
        <w:t>идентификацията</w:t>
      </w:r>
      <w:r w:rsidRPr="00727956">
        <w:rPr>
          <w:rFonts w:ascii="Cambria" w:hAnsi="Cambria" w:cs="Arial Narrow"/>
        </w:rPr>
        <w:t xml:space="preserve"> за съдържанието и </w:t>
      </w:r>
      <w:r w:rsidR="00727956" w:rsidRPr="00727956">
        <w:rPr>
          <w:rFonts w:ascii="Cambria" w:hAnsi="Cambria" w:cs="Arial Narrow"/>
        </w:rPr>
        <w:t>упътвания</w:t>
      </w:r>
      <w:r w:rsidRPr="00727956">
        <w:rPr>
          <w:rFonts w:ascii="Cambria" w:hAnsi="Cambria" w:cs="Arial Narrow"/>
        </w:rPr>
        <w:t xml:space="preserve"> за качествена употреба.</w:t>
      </w:r>
    </w:p>
    <w:p w:rsidR="00F87F03" w:rsidRPr="00727956" w:rsidRDefault="00F87F03" w:rsidP="00727956">
      <w:pPr>
        <w:jc w:val="both"/>
        <w:rPr>
          <w:rFonts w:ascii="Cambria" w:hAnsi="Cambria" w:cs="Arial Narrow"/>
          <w:b/>
          <w:bCs/>
        </w:rPr>
      </w:pPr>
      <w:r w:rsidRPr="00727956">
        <w:rPr>
          <w:rFonts w:ascii="Cambria" w:hAnsi="Cambria" w:cs="Arial Narrow"/>
          <w:b/>
          <w:bCs/>
        </w:rPr>
        <w:t xml:space="preserve">Материали по част Електро инсталации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Всяка доставка на материали на строителната площадка или в складовете на </w:t>
      </w:r>
      <w:r w:rsidR="00727956" w:rsidRPr="00727956">
        <w:rPr>
          <w:rFonts w:ascii="Cambria" w:hAnsi="Cambria" w:cs="Arial Narrow"/>
        </w:rPr>
        <w:t>изпълнителя</w:t>
      </w:r>
      <w:r w:rsidRPr="00727956">
        <w:rPr>
          <w:rFonts w:ascii="Cambria" w:hAnsi="Cambria" w:cs="Arial Narrow"/>
        </w:rPr>
        <w:t xml:space="preserve"> трябва да бъде придружено със сертификат за качество в </w:t>
      </w:r>
      <w:r w:rsidR="00727956" w:rsidRPr="00727956">
        <w:rPr>
          <w:rFonts w:ascii="Cambria" w:hAnsi="Cambria" w:cs="Arial Narrow"/>
        </w:rPr>
        <w:t>съответствие</w:t>
      </w:r>
      <w:r w:rsidRPr="00727956">
        <w:rPr>
          <w:rFonts w:ascii="Cambria" w:hAnsi="Cambria" w:cs="Arial Narrow"/>
        </w:rPr>
        <w:t xml:space="preserve"> с определените технически стандарти, спецификации или додбрени мостри и каталози и трябва да бъдат внимателно съхранявани до влагането им в работите. Всички произведени продукт или оборудване, които ще бъдат вложени в работите да бъдат доставени с всички необходими аксесоари придружени с наръчници за </w:t>
      </w:r>
      <w:r w:rsidR="00727956" w:rsidRPr="00727956">
        <w:rPr>
          <w:rFonts w:ascii="Cambria" w:hAnsi="Cambria" w:cs="Arial Narrow"/>
        </w:rPr>
        <w:t>експлоатация</w:t>
      </w:r>
      <w:r w:rsidRPr="00727956">
        <w:rPr>
          <w:rFonts w:ascii="Cambria" w:hAnsi="Cambria" w:cs="Arial Narrow"/>
        </w:rPr>
        <w:t xml:space="preserve"> и поддръжка, където да могат да се приложат такива. При липса на </w:t>
      </w:r>
      <w:r w:rsidRPr="00727956">
        <w:rPr>
          <w:rFonts w:ascii="Cambria" w:hAnsi="Cambria" w:cs="Arial Narrow"/>
        </w:rPr>
        <w:lastRenderedPageBreak/>
        <w:t xml:space="preserve">сертификат да се прилагат лабораторни документи и заключения, които да доказват тяхната годност за употреба. 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Всички инсталации и съоръжения трябва да се осигурят максимална защита срещу електрически удар. Това </w:t>
      </w:r>
      <w:r w:rsidR="00727956" w:rsidRPr="00727956">
        <w:rPr>
          <w:rFonts w:ascii="Cambria" w:hAnsi="Cambria" w:cs="Arial Narrow"/>
        </w:rPr>
        <w:t>изискване</w:t>
      </w:r>
      <w:r w:rsidRPr="00727956">
        <w:rPr>
          <w:rFonts w:ascii="Cambria" w:hAnsi="Cambria" w:cs="Arial Narrow"/>
        </w:rPr>
        <w:t xml:space="preserve"> трябва да стои като първо и най-важно съображение при вземането на решение относно избора на материали и работни методи както и при окомплектоването с детайли. Стриктно трябва да се спазват всички мерки за безопасност, уточнени в прилаганите стандарти и разпоредби. Изпълнителят е задължен да достави всички необходими фиксиращи елементи в материали за инсталацията, части и </w:t>
      </w:r>
      <w:r w:rsidR="00727956" w:rsidRPr="00727956">
        <w:rPr>
          <w:rFonts w:ascii="Cambria" w:hAnsi="Cambria" w:cs="Arial Narrow"/>
        </w:rPr>
        <w:t>инструменти</w:t>
      </w:r>
      <w:r w:rsidRPr="00727956">
        <w:rPr>
          <w:rFonts w:ascii="Cambria" w:hAnsi="Cambria" w:cs="Arial Narrow"/>
        </w:rPr>
        <w:t xml:space="preserve"> за завършване на инсталацията в </w:t>
      </w:r>
      <w:r w:rsidR="00727956" w:rsidRPr="00727956">
        <w:rPr>
          <w:rFonts w:ascii="Cambria" w:hAnsi="Cambria" w:cs="Arial Narrow"/>
        </w:rPr>
        <w:t>съответствие</w:t>
      </w:r>
      <w:r w:rsidRPr="00727956">
        <w:rPr>
          <w:rFonts w:ascii="Cambria" w:hAnsi="Cambria" w:cs="Arial Narrow"/>
        </w:rPr>
        <w:t xml:space="preserve"> с настоящата спецификация и проектната </w:t>
      </w:r>
      <w:r w:rsidR="00727956" w:rsidRPr="00727956">
        <w:rPr>
          <w:rFonts w:ascii="Cambria" w:hAnsi="Cambria" w:cs="Arial Narrow"/>
        </w:rPr>
        <w:t>документация</w:t>
      </w:r>
      <w:r w:rsidRPr="00727956">
        <w:rPr>
          <w:rFonts w:ascii="Cambria" w:hAnsi="Cambria" w:cs="Arial Narrow"/>
        </w:rPr>
        <w:t xml:space="preserve">. Всички материали и аксесоари, използвани за прокарването на кабели, трябва да бъдат фабрично направени и избрани от фабричния стандартен </w:t>
      </w:r>
      <w:r w:rsidR="00727956" w:rsidRPr="00727956">
        <w:rPr>
          <w:rFonts w:ascii="Cambria" w:hAnsi="Cambria" w:cs="Arial Narrow"/>
        </w:rPr>
        <w:t>асортимент</w:t>
      </w:r>
      <w:r w:rsidRPr="00727956">
        <w:rPr>
          <w:rFonts w:ascii="Cambria" w:hAnsi="Cambria" w:cs="Arial Narrow"/>
        </w:rPr>
        <w:t xml:space="preserve"> на продуктите. 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 xml:space="preserve">Техническата спецификация е неделима част от Тръжните документи наред с Договора за изпълнение, Техническия проект и другите договорни документи. Спецификацията е предназначена да поясни и развие изискванията по изпълнение на строителните работи, които са предмет на договора. </w:t>
      </w:r>
    </w:p>
    <w:p w:rsidR="00727956" w:rsidRPr="00727956" w:rsidRDefault="00F87F03" w:rsidP="00727956">
      <w:pPr>
        <w:jc w:val="both"/>
        <w:rPr>
          <w:rFonts w:ascii="Cambria" w:hAnsi="Cambria" w:cs="Arial Narrow"/>
        </w:rPr>
      </w:pPr>
      <w:r w:rsidRPr="00727956">
        <w:rPr>
          <w:rFonts w:ascii="Cambria" w:hAnsi="Cambria" w:cs="Arial Narrow"/>
        </w:rPr>
        <w:t>След приключване на СМР и преди организиране на процедурата за установяване годността на строежа, строителната площадка трябва да бъде изчистена и околн</w:t>
      </w:r>
      <w:r w:rsidR="00727956" w:rsidRPr="00727956">
        <w:rPr>
          <w:rFonts w:ascii="Cambria" w:hAnsi="Cambria" w:cs="Arial Narrow"/>
        </w:rPr>
        <w:t>ото пространство – възстановено.</w:t>
      </w:r>
    </w:p>
    <w:p w:rsidR="00F87F03" w:rsidRPr="00727956" w:rsidRDefault="00F87F03" w:rsidP="00727956">
      <w:pPr>
        <w:jc w:val="both"/>
        <w:rPr>
          <w:rFonts w:ascii="Cambria" w:hAnsi="Cambria" w:cs="Arial Narrow"/>
        </w:rPr>
      </w:pPr>
    </w:p>
    <w:sectPr w:rsidR="00F87F03" w:rsidRPr="00727956" w:rsidSect="00B319BA"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F7" w:rsidRDefault="00EF4BF7" w:rsidP="00791EC3">
      <w:r>
        <w:separator/>
      </w:r>
    </w:p>
  </w:endnote>
  <w:endnote w:type="continuationSeparator" w:id="0">
    <w:p w:rsidR="00EF4BF7" w:rsidRDefault="00EF4BF7" w:rsidP="0079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56" w:rsidRDefault="0072795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F5602">
      <w:rPr>
        <w:noProof/>
      </w:rPr>
      <w:t>1</w:t>
    </w:r>
    <w:r>
      <w:rPr>
        <w:noProof/>
      </w:rPr>
      <w:fldChar w:fldCharType="end"/>
    </w:r>
  </w:p>
  <w:p w:rsidR="00727956" w:rsidRDefault="00727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F7" w:rsidRDefault="00EF4BF7" w:rsidP="00791EC3">
      <w:r>
        <w:separator/>
      </w:r>
    </w:p>
  </w:footnote>
  <w:footnote w:type="continuationSeparator" w:id="0">
    <w:p w:rsidR="00EF4BF7" w:rsidRDefault="00EF4BF7" w:rsidP="0079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F3"/>
    <w:multiLevelType w:val="hybridMultilevel"/>
    <w:tmpl w:val="C5D871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D703BE6"/>
    <w:multiLevelType w:val="hybridMultilevel"/>
    <w:tmpl w:val="429257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7F540AB"/>
    <w:multiLevelType w:val="singleLevel"/>
    <w:tmpl w:val="11647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135949"/>
    <w:multiLevelType w:val="hybridMultilevel"/>
    <w:tmpl w:val="099E666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8CA2B19"/>
    <w:multiLevelType w:val="singleLevel"/>
    <w:tmpl w:val="9D2C4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3813F21"/>
    <w:multiLevelType w:val="hybridMultilevel"/>
    <w:tmpl w:val="71FC41DE"/>
    <w:lvl w:ilvl="0" w:tplc="5476C1C0">
      <w:start w:val="1"/>
      <w:numFmt w:val="decimal"/>
      <w:lvlText w:val="%1."/>
      <w:lvlJc w:val="left"/>
      <w:pPr>
        <w:tabs>
          <w:tab w:val="num" w:pos="1740"/>
        </w:tabs>
        <w:ind w:left="1740" w:hanging="103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D326E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5279F7"/>
    <w:multiLevelType w:val="hybridMultilevel"/>
    <w:tmpl w:val="E9F4CA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605646"/>
    <w:multiLevelType w:val="hybridMultilevel"/>
    <w:tmpl w:val="A78E97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671F63AF"/>
    <w:multiLevelType w:val="hybridMultilevel"/>
    <w:tmpl w:val="A7FCF48A"/>
    <w:lvl w:ilvl="0" w:tplc="1952B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0958FC"/>
    <w:multiLevelType w:val="hybridMultilevel"/>
    <w:tmpl w:val="3202F2A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3FE"/>
    <w:rsid w:val="0003656C"/>
    <w:rsid w:val="0004315E"/>
    <w:rsid w:val="00073116"/>
    <w:rsid w:val="00127C2A"/>
    <w:rsid w:val="00142BE2"/>
    <w:rsid w:val="00187D9A"/>
    <w:rsid w:val="001D2580"/>
    <w:rsid w:val="001D2B9E"/>
    <w:rsid w:val="00204D9F"/>
    <w:rsid w:val="0021273F"/>
    <w:rsid w:val="0028045F"/>
    <w:rsid w:val="0039166F"/>
    <w:rsid w:val="003F23FE"/>
    <w:rsid w:val="00407597"/>
    <w:rsid w:val="0044626F"/>
    <w:rsid w:val="0046122C"/>
    <w:rsid w:val="004E713C"/>
    <w:rsid w:val="00554D06"/>
    <w:rsid w:val="00595F62"/>
    <w:rsid w:val="005A612F"/>
    <w:rsid w:val="005C365F"/>
    <w:rsid w:val="005E6515"/>
    <w:rsid w:val="005F2CC3"/>
    <w:rsid w:val="005F31E9"/>
    <w:rsid w:val="00605C04"/>
    <w:rsid w:val="00644CE7"/>
    <w:rsid w:val="00680FB0"/>
    <w:rsid w:val="006868CB"/>
    <w:rsid w:val="006974A2"/>
    <w:rsid w:val="006B2199"/>
    <w:rsid w:val="0070774D"/>
    <w:rsid w:val="00727956"/>
    <w:rsid w:val="00791EC3"/>
    <w:rsid w:val="00821D2E"/>
    <w:rsid w:val="008419FD"/>
    <w:rsid w:val="00850B50"/>
    <w:rsid w:val="008870E7"/>
    <w:rsid w:val="008E4301"/>
    <w:rsid w:val="00993CFC"/>
    <w:rsid w:val="009A18D6"/>
    <w:rsid w:val="009B0E5B"/>
    <w:rsid w:val="009B366A"/>
    <w:rsid w:val="009F5602"/>
    <w:rsid w:val="00A16887"/>
    <w:rsid w:val="00A45D2D"/>
    <w:rsid w:val="00A92B00"/>
    <w:rsid w:val="00AA50F0"/>
    <w:rsid w:val="00AB49B3"/>
    <w:rsid w:val="00AF153E"/>
    <w:rsid w:val="00B11013"/>
    <w:rsid w:val="00B2466B"/>
    <w:rsid w:val="00B319BA"/>
    <w:rsid w:val="00B47F39"/>
    <w:rsid w:val="00BC15C9"/>
    <w:rsid w:val="00C30F0D"/>
    <w:rsid w:val="00CD1A23"/>
    <w:rsid w:val="00CE556A"/>
    <w:rsid w:val="00D00B3C"/>
    <w:rsid w:val="00D40BB3"/>
    <w:rsid w:val="00D6098D"/>
    <w:rsid w:val="00D80247"/>
    <w:rsid w:val="00DC0711"/>
    <w:rsid w:val="00E40311"/>
    <w:rsid w:val="00E62971"/>
    <w:rsid w:val="00E63E5A"/>
    <w:rsid w:val="00EC23E7"/>
    <w:rsid w:val="00EF2285"/>
    <w:rsid w:val="00EF4BF7"/>
    <w:rsid w:val="00F3700F"/>
    <w:rsid w:val="00F87F03"/>
    <w:rsid w:val="00FB77E8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FE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23FE"/>
    <w:pPr>
      <w:keepNext/>
      <w:autoSpaceDE w:val="0"/>
      <w:autoSpaceDN w:val="0"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23FE"/>
    <w:pPr>
      <w:keepNext/>
      <w:autoSpaceDE w:val="0"/>
      <w:autoSpaceDN w:val="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3F23FE"/>
    <w:rPr>
      <w:rFonts w:ascii="Arial" w:hAnsi="Arial" w:cs="Arial"/>
      <w:sz w:val="24"/>
      <w:szCs w:val="24"/>
      <w:u w:val="single"/>
      <w:lang w:eastAsia="bg-BG"/>
    </w:rPr>
  </w:style>
  <w:style w:type="character" w:customStyle="1" w:styleId="Heading7Char">
    <w:name w:val="Heading 7 Char"/>
    <w:link w:val="Heading7"/>
    <w:uiPriority w:val="99"/>
    <w:locked/>
    <w:rsid w:val="003F23FE"/>
    <w:rPr>
      <w:rFonts w:ascii="Arial" w:hAnsi="Arial" w:cs="Arial"/>
      <w:b/>
      <w:bCs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3F23FE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3F23FE"/>
    <w:rPr>
      <w:rFonts w:ascii="Arial" w:hAnsi="Arial" w:cs="Arial"/>
      <w:sz w:val="28"/>
      <w:szCs w:val="28"/>
      <w:lang w:eastAsia="bg-BG"/>
    </w:rPr>
  </w:style>
  <w:style w:type="paragraph" w:styleId="BodyText3">
    <w:name w:val="Body Text 3"/>
    <w:basedOn w:val="Normal"/>
    <w:link w:val="BodyText3Char"/>
    <w:uiPriority w:val="99"/>
    <w:rsid w:val="003F23FE"/>
    <w:pPr>
      <w:autoSpaceDE w:val="0"/>
      <w:autoSpaceDN w:val="0"/>
    </w:pPr>
  </w:style>
  <w:style w:type="character" w:customStyle="1" w:styleId="BodyText3Char">
    <w:name w:val="Body Text 3 Char"/>
    <w:link w:val="BodyText3"/>
    <w:uiPriority w:val="99"/>
    <w:locked/>
    <w:rsid w:val="003F23F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Text3">
    <w:name w:val="Text 3"/>
    <w:basedOn w:val="Normal"/>
    <w:uiPriority w:val="99"/>
    <w:rsid w:val="005E6515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CharChar2">
    <w:name w:val="Char Char2 Знак Знак"/>
    <w:basedOn w:val="Normal"/>
    <w:uiPriority w:val="99"/>
    <w:rsid w:val="005E6515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rsid w:val="00791E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791EC3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91E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91EC3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5A6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 Е Х Н И Ч Е С К О    З А Д А Н И Е</vt:lpstr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Х Н И Ч Е С К О    З А Д А Н И Е</dc:title>
  <dc:subject/>
  <dc:creator>pc</dc:creator>
  <cp:keywords/>
  <dc:description/>
  <cp:lastModifiedBy>None</cp:lastModifiedBy>
  <cp:revision>13</cp:revision>
  <dcterms:created xsi:type="dcterms:W3CDTF">2014-10-15T07:15:00Z</dcterms:created>
  <dcterms:modified xsi:type="dcterms:W3CDTF">2014-10-17T07:49:00Z</dcterms:modified>
</cp:coreProperties>
</file>